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414" w:rsidRDefault="00252414" w:rsidP="00183AB2">
      <w:pPr>
        <w:jc w:val="both"/>
        <w:rPr>
          <w:b/>
        </w:rPr>
      </w:pPr>
      <w:r>
        <w:rPr>
          <w:noProof/>
          <w:lang w:eastAsia="es-AR"/>
        </w:rPr>
        <w:drawing>
          <wp:inline distT="0" distB="0" distL="0" distR="0">
            <wp:extent cx="5400040" cy="611014"/>
            <wp:effectExtent l="0" t="0" r="0" b="0"/>
            <wp:docPr id="3" name="Imagen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611014"/>
                    </a:xfrm>
                    <a:prstGeom prst="rect">
                      <a:avLst/>
                    </a:prstGeom>
                    <a:noFill/>
                    <a:ln>
                      <a:noFill/>
                    </a:ln>
                  </pic:spPr>
                </pic:pic>
              </a:graphicData>
            </a:graphic>
          </wp:inline>
        </w:drawing>
      </w:r>
    </w:p>
    <w:p w:rsidR="00252414" w:rsidRDefault="00252414" w:rsidP="00183AB2">
      <w:pPr>
        <w:jc w:val="both"/>
        <w:rPr>
          <w:b/>
        </w:rPr>
      </w:pPr>
    </w:p>
    <w:p w:rsidR="00E12D67" w:rsidRPr="00E12D67" w:rsidRDefault="00E12D67" w:rsidP="00183AB2">
      <w:pPr>
        <w:jc w:val="both"/>
        <w:rPr>
          <w:b/>
        </w:rPr>
      </w:pPr>
      <w:r w:rsidRPr="00E12D67">
        <w:rPr>
          <w:b/>
        </w:rPr>
        <w:t>INSTRUCTIVO COMPROMISOS</w:t>
      </w:r>
    </w:p>
    <w:p w:rsidR="00E12D67" w:rsidRDefault="00E12D67" w:rsidP="00183AB2">
      <w:pPr>
        <w:ind w:firstLine="567"/>
        <w:jc w:val="both"/>
      </w:pPr>
      <w:r>
        <w:t xml:space="preserve">Un </w:t>
      </w:r>
      <w:r w:rsidRPr="00E12D67">
        <w:rPr>
          <w:b/>
        </w:rPr>
        <w:t>COM</w:t>
      </w:r>
      <w:r>
        <w:t xml:space="preserve"> indica la instancia inicial de la ejecución presupuestaria en la que se realiza la reserva del monto comprometido. </w:t>
      </w:r>
    </w:p>
    <w:p w:rsidR="00E12D67" w:rsidRPr="00593648" w:rsidRDefault="00E12D67" w:rsidP="00183AB2">
      <w:pPr>
        <w:ind w:firstLine="567"/>
        <w:jc w:val="both"/>
        <w:rPr>
          <w:b/>
        </w:rPr>
      </w:pPr>
      <w:r>
        <w:t xml:space="preserve">El primer paso es ingresar en el </w:t>
      </w:r>
      <w:r w:rsidRPr="00593648">
        <w:rPr>
          <w:b/>
        </w:rPr>
        <w:t>Módulo de Gastos</w:t>
      </w:r>
      <w:r>
        <w:t xml:space="preserve"> y ubicarnos luego </w:t>
      </w:r>
      <w:r w:rsidRPr="00593648">
        <w:t>en</w:t>
      </w:r>
      <w:r w:rsidRPr="00593648">
        <w:rPr>
          <w:b/>
        </w:rPr>
        <w:t xml:space="preserve"> Gastos Presupuestarios. </w:t>
      </w:r>
    </w:p>
    <w:p w:rsidR="00E12D67" w:rsidRDefault="00E12D67" w:rsidP="00183AB2">
      <w:pPr>
        <w:ind w:firstLine="567"/>
        <w:jc w:val="both"/>
      </w:pPr>
      <w:r>
        <w:t xml:space="preserve">Una vez que ingresamos allí, podemos visualizar la Lista de Comprobantes totales emitidos para el ejercicio y jurisdicción sobre la que se está trabajando. Para poder comenzar con la generación de un </w:t>
      </w:r>
      <w:r w:rsidRPr="00E12D67">
        <w:rPr>
          <w:b/>
        </w:rPr>
        <w:t>COM</w:t>
      </w:r>
      <w:r>
        <w:t>, debemos seleccionar la opción “</w:t>
      </w:r>
      <w:r w:rsidRPr="00593648">
        <w:rPr>
          <w:b/>
        </w:rPr>
        <w:t>Agregar</w:t>
      </w:r>
      <w:r>
        <w:t xml:space="preserve">”. </w:t>
      </w:r>
    </w:p>
    <w:p w:rsidR="00E12D67" w:rsidRDefault="00E12D67" w:rsidP="00183AB2">
      <w:pPr>
        <w:jc w:val="both"/>
      </w:pPr>
      <w:r>
        <w:rPr>
          <w:noProof/>
          <w:lang w:eastAsia="es-AR"/>
        </w:rPr>
        <mc:AlternateContent>
          <mc:Choice Requires="wps">
            <w:drawing>
              <wp:anchor distT="0" distB="0" distL="114300" distR="114300" simplePos="0" relativeHeight="251659264" behindDoc="0" locked="0" layoutInCell="1" allowOverlap="1" wp14:anchorId="201AF98A" wp14:editId="45E3E538">
                <wp:simplePos x="0" y="0"/>
                <wp:positionH relativeFrom="column">
                  <wp:posOffset>281940</wp:posOffset>
                </wp:positionH>
                <wp:positionV relativeFrom="paragraph">
                  <wp:posOffset>2183765</wp:posOffset>
                </wp:positionV>
                <wp:extent cx="704850" cy="238125"/>
                <wp:effectExtent l="0" t="0" r="19050" b="28575"/>
                <wp:wrapNone/>
                <wp:docPr id="9" name="Elipse 9"/>
                <wp:cNvGraphicFramePr/>
                <a:graphic xmlns:a="http://schemas.openxmlformats.org/drawingml/2006/main">
                  <a:graphicData uri="http://schemas.microsoft.com/office/word/2010/wordprocessingShape">
                    <wps:wsp>
                      <wps:cNvSpPr/>
                      <wps:spPr>
                        <a:xfrm>
                          <a:off x="0" y="0"/>
                          <a:ext cx="7048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66AD9D" id="Elipse 9" o:spid="_x0000_s1026" style="position:absolute;margin-left:22.2pt;margin-top:171.95pt;width:55.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" filled="f" strokecolor="red" strokeweight="1pt">
                <v:stroke joinstyle="miter"/>
              </v:oval>
            </w:pict>
          </mc:Fallback>
        </mc:AlternateContent>
      </w:r>
      <w:r>
        <w:rPr>
          <w:noProof/>
          <w:lang w:eastAsia="es-AR"/>
        </w:rPr>
        <w:drawing>
          <wp:inline distT="0" distB="0" distL="0" distR="0" wp14:anchorId="3656DF38" wp14:editId="3DBE471A">
            <wp:extent cx="5080635" cy="2680824"/>
            <wp:effectExtent l="0" t="0" r="571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4952" r="38088" b="36978"/>
                    <a:stretch/>
                  </pic:blipFill>
                  <pic:spPr bwMode="auto">
                    <a:xfrm>
                      <a:off x="0" y="0"/>
                      <a:ext cx="5115851" cy="2699406"/>
                    </a:xfrm>
                    <a:prstGeom prst="rect">
                      <a:avLst/>
                    </a:prstGeom>
                    <a:ln>
                      <a:noFill/>
                    </a:ln>
                    <a:extLst>
                      <a:ext uri="{53640926-AAD7-44D8-BBD7-CCE9431645EC}">
                        <a14:shadowObscured xmlns:a14="http://schemas.microsoft.com/office/drawing/2010/main"/>
                      </a:ext>
                    </a:extLst>
                  </pic:spPr>
                </pic:pic>
              </a:graphicData>
            </a:graphic>
          </wp:inline>
        </w:drawing>
      </w:r>
    </w:p>
    <w:p w:rsidR="00E12D67" w:rsidRDefault="00E12D67" w:rsidP="00183AB2">
      <w:pPr>
        <w:ind w:firstLine="567"/>
        <w:jc w:val="both"/>
      </w:pPr>
      <w:r>
        <w:t xml:space="preserve">Aquí es necesario tener en cuenta que para aquellas entidades que funcionan con la lógica de la </w:t>
      </w:r>
      <w:r w:rsidRPr="00E12D67">
        <w:rPr>
          <w:b/>
        </w:rPr>
        <w:t>RIN</w:t>
      </w:r>
      <w:r>
        <w:t xml:space="preserve"> (</w:t>
      </w:r>
      <w:r w:rsidRPr="00593648">
        <w:rPr>
          <w:b/>
        </w:rPr>
        <w:t>Reserva Interna</w:t>
      </w:r>
      <w:r>
        <w:t xml:space="preserve">), los </w:t>
      </w:r>
      <w:r w:rsidRPr="00E12D67">
        <w:rPr>
          <w:b/>
        </w:rPr>
        <w:t>COM</w:t>
      </w:r>
      <w:r>
        <w:t xml:space="preserve"> se encuentran siempre asociados a una </w:t>
      </w:r>
      <w:r w:rsidRPr="00E12D67">
        <w:rPr>
          <w:b/>
        </w:rPr>
        <w:t>RIN</w:t>
      </w:r>
      <w:r>
        <w:t xml:space="preserve"> y el número de entrada es igual al número original. De esta manera, si queremos cargar un </w:t>
      </w:r>
      <w:r w:rsidRPr="00E12D67">
        <w:rPr>
          <w:b/>
        </w:rPr>
        <w:t>COM</w:t>
      </w:r>
      <w:r>
        <w:t xml:space="preserve"> asociado a una </w:t>
      </w:r>
      <w:r w:rsidRPr="00E12D67">
        <w:rPr>
          <w:b/>
        </w:rPr>
        <w:t>RIN</w:t>
      </w:r>
      <w:r>
        <w:t xml:space="preserve"> determinada, debemos primero saber el número de esa </w:t>
      </w:r>
      <w:r w:rsidRPr="00E12D67">
        <w:rPr>
          <w:b/>
        </w:rPr>
        <w:t>RIN</w:t>
      </w:r>
      <w:r>
        <w:t xml:space="preserve"> para así poder asociarlos. </w:t>
      </w:r>
    </w:p>
    <w:p w:rsidR="00E12D67" w:rsidRDefault="00E12D67" w:rsidP="00183AB2">
      <w:pPr>
        <w:ind w:firstLine="567"/>
        <w:jc w:val="both"/>
      </w:pPr>
      <w:r>
        <w:t xml:space="preserve">Para el caso de las entidades que no funcionan con </w:t>
      </w:r>
      <w:r w:rsidRPr="00E12D67">
        <w:rPr>
          <w:b/>
        </w:rPr>
        <w:t>RIN</w:t>
      </w:r>
      <w:r>
        <w:t xml:space="preserve">, el campo quedará inhabilitado y se deberán completar los datos generales del comprobante de </w:t>
      </w:r>
      <w:r w:rsidRPr="00E12D67">
        <w:rPr>
          <w:b/>
        </w:rPr>
        <w:t>COM</w:t>
      </w:r>
      <w:r>
        <w:t xml:space="preserve"> tal como se requieran en pantalla. </w:t>
      </w:r>
    </w:p>
    <w:p w:rsidR="000152FF" w:rsidRDefault="00E12D67" w:rsidP="00183AB2">
      <w:pPr>
        <w:ind w:firstLine="567"/>
        <w:jc w:val="both"/>
      </w:pPr>
      <w:r>
        <w:t>Al seleccionar la opción “</w:t>
      </w:r>
      <w:r w:rsidRPr="00593648">
        <w:rPr>
          <w:b/>
        </w:rPr>
        <w:t>Agregar</w:t>
      </w:r>
      <w:r>
        <w:t xml:space="preserve">”, el sistema nos va a solicitar es el número de </w:t>
      </w:r>
      <w:r w:rsidRPr="00A465E1">
        <w:rPr>
          <w:b/>
        </w:rPr>
        <w:t>RIN</w:t>
      </w:r>
      <w:r>
        <w:t xml:space="preserve"> a la que el </w:t>
      </w:r>
      <w:r w:rsidRPr="00A465E1">
        <w:rPr>
          <w:b/>
        </w:rPr>
        <w:t>COM</w:t>
      </w:r>
      <w:r>
        <w:t xml:space="preserve"> debe estar atado. Una vez ingresado ese número, seleccionamos el botón “</w:t>
      </w:r>
      <w:proofErr w:type="spellStart"/>
      <w:r w:rsidRPr="00593648">
        <w:rPr>
          <w:b/>
        </w:rPr>
        <w:t>tab</w:t>
      </w:r>
      <w:proofErr w:type="spellEnd"/>
      <w:r w:rsidR="00593648">
        <w:t>” en</w:t>
      </w:r>
      <w:r>
        <w:t xml:space="preserve"> o </w:t>
      </w:r>
      <w:proofErr w:type="spellStart"/>
      <w:r>
        <w:t>clickeamos</w:t>
      </w:r>
      <w:proofErr w:type="spellEnd"/>
      <w:r>
        <w:t xml:space="preserve"> cualquier otro campo dentro y el sistema nos devuelve automáticamente un número de entrada y un número original (iguales), así como también toda la información relacionada a la comprobante de </w:t>
      </w:r>
      <w:r w:rsidRPr="000152FF">
        <w:rPr>
          <w:b/>
        </w:rPr>
        <w:t xml:space="preserve">RIN </w:t>
      </w:r>
      <w:r>
        <w:t>inicial.</w:t>
      </w:r>
    </w:p>
    <w:p w:rsidR="000152FF" w:rsidRDefault="00E12D67" w:rsidP="00183AB2">
      <w:pPr>
        <w:ind w:firstLine="567"/>
        <w:jc w:val="both"/>
      </w:pPr>
      <w:r>
        <w:t xml:space="preserve"> Aquí es necesario notar que el sistema por defecto genera un comprobante con clase de regis</w:t>
      </w:r>
      <w:r w:rsidR="005B74FF">
        <w:t>tro CYO (compromiso y ordenado) que está en gris, p</w:t>
      </w:r>
      <w:r>
        <w:t xml:space="preserve">or ende, como lo que buscamos </w:t>
      </w:r>
      <w:r>
        <w:lastRenderedPageBreak/>
        <w:t xml:space="preserve">generar en este caso es sólo un </w:t>
      </w:r>
      <w:r w:rsidRPr="000152FF">
        <w:rPr>
          <w:b/>
        </w:rPr>
        <w:t>COM</w:t>
      </w:r>
      <w:r>
        <w:t xml:space="preserve">, debemos modificar el campo. Para esto, con la tecla F9, podemos encontrar la opción, o también simplemente escribiendo la abreviatura </w:t>
      </w:r>
      <w:r w:rsidRPr="000152FF">
        <w:rPr>
          <w:b/>
        </w:rPr>
        <w:t>COM</w:t>
      </w:r>
      <w:r>
        <w:t xml:space="preserve">. Una vez completos dichos campos, seleccionamos el botón “Aceptar” para poder continuar con el procedimiento. </w:t>
      </w:r>
    </w:p>
    <w:p w:rsidR="000152FF" w:rsidRDefault="00E12D67" w:rsidP="00183AB2">
      <w:pPr>
        <w:ind w:firstLine="567"/>
        <w:jc w:val="both"/>
      </w:pPr>
      <w:r>
        <w:t xml:space="preserve">Luego, el sistema nos arroja una pantalla indicándonos el número de entrada y el original que fueron asignados al comprobante generado. </w:t>
      </w:r>
    </w:p>
    <w:p w:rsidR="000152FF" w:rsidRDefault="00E12D67" w:rsidP="00183AB2">
      <w:pPr>
        <w:ind w:firstLine="567"/>
        <w:jc w:val="both"/>
      </w:pPr>
      <w:r>
        <w:t xml:space="preserve">Ahora bien, lo que nos faltaría completar ahora son los </w:t>
      </w:r>
      <w:r w:rsidRPr="005B74FF">
        <w:rPr>
          <w:b/>
        </w:rPr>
        <w:t>beneficiarios</w:t>
      </w:r>
      <w:r>
        <w:t xml:space="preserve"> asociados a dicho comprobante </w:t>
      </w:r>
      <w:r w:rsidRPr="000152FF">
        <w:rPr>
          <w:b/>
        </w:rPr>
        <w:t>COM</w:t>
      </w:r>
      <w:r>
        <w:t xml:space="preserve">. Para esto, seleccionamos el </w:t>
      </w:r>
      <w:r w:rsidRPr="000152FF">
        <w:rPr>
          <w:b/>
        </w:rPr>
        <w:t>COM</w:t>
      </w:r>
      <w:r>
        <w:t xml:space="preserve"> sobre el que estamos trabajando y </w:t>
      </w:r>
      <w:proofErr w:type="spellStart"/>
      <w:r>
        <w:t>clickeamos</w:t>
      </w:r>
      <w:proofErr w:type="spellEnd"/>
      <w:r>
        <w:t xml:space="preserve"> el botón “</w:t>
      </w:r>
      <w:r w:rsidRPr="005B74FF">
        <w:rPr>
          <w:b/>
        </w:rPr>
        <w:t>Beneficiarios</w:t>
      </w:r>
      <w:r>
        <w:t xml:space="preserve">”. </w:t>
      </w:r>
    </w:p>
    <w:p w:rsidR="000152FF" w:rsidRDefault="000152FF" w:rsidP="00183AB2">
      <w:pPr>
        <w:ind w:firstLine="567"/>
        <w:jc w:val="both"/>
        <w:rPr>
          <w:noProof/>
          <w:lang w:eastAsia="es-AR"/>
        </w:rPr>
      </w:pPr>
    </w:p>
    <w:p w:rsidR="000152FF" w:rsidRDefault="000152FF" w:rsidP="00183AB2">
      <w:pPr>
        <w:ind w:firstLine="567"/>
        <w:jc w:val="both"/>
      </w:pPr>
      <w:r>
        <w:rPr>
          <w:noProof/>
          <w:lang w:eastAsia="es-AR"/>
        </w:rPr>
        <w:drawing>
          <wp:inline distT="0" distB="0" distL="0" distR="0" wp14:anchorId="2FDA22E9" wp14:editId="56FA4272">
            <wp:extent cx="4848225" cy="254949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4390" r="38617" b="38231"/>
                    <a:stretch/>
                  </pic:blipFill>
                  <pic:spPr bwMode="auto">
                    <a:xfrm>
                      <a:off x="0" y="0"/>
                      <a:ext cx="4871651" cy="2561817"/>
                    </a:xfrm>
                    <a:prstGeom prst="rect">
                      <a:avLst/>
                    </a:prstGeom>
                    <a:ln>
                      <a:noFill/>
                    </a:ln>
                    <a:extLst>
                      <a:ext uri="{53640926-AAD7-44D8-BBD7-CCE9431645EC}">
                        <a14:shadowObscured xmlns:a14="http://schemas.microsoft.com/office/drawing/2010/main"/>
                      </a:ext>
                    </a:extLst>
                  </pic:spPr>
                </pic:pic>
              </a:graphicData>
            </a:graphic>
          </wp:inline>
        </w:drawing>
      </w:r>
    </w:p>
    <w:p w:rsidR="000152FF" w:rsidRDefault="00E12D67" w:rsidP="00183AB2">
      <w:pPr>
        <w:ind w:firstLine="567"/>
        <w:jc w:val="both"/>
      </w:pPr>
      <w:r>
        <w:t xml:space="preserve">Allí, debemos completar una serie de datos requeridos. </w:t>
      </w:r>
    </w:p>
    <w:p w:rsidR="000152FF" w:rsidRDefault="00E12D67" w:rsidP="00183AB2">
      <w:pPr>
        <w:ind w:firstLine="567"/>
        <w:jc w:val="both"/>
      </w:pPr>
      <w:r>
        <w:t xml:space="preserve">Por un lado, el nombre del </w:t>
      </w:r>
      <w:r w:rsidRPr="005B74FF">
        <w:rPr>
          <w:b/>
        </w:rPr>
        <w:t>beneficiario</w:t>
      </w:r>
      <w:r>
        <w:t xml:space="preserve"> asociado a dicho comprobante (aquí, de nuevo, con el botón F9 accedemos a una lista de posibles beneficiarios a ingresar, con su correspondiente CUIT y </w:t>
      </w:r>
      <w:r w:rsidRPr="005B74FF">
        <w:rPr>
          <w:b/>
        </w:rPr>
        <w:t>concepto de Tesorería</w:t>
      </w:r>
      <w:r>
        <w:t xml:space="preserve">; sino podemos simplemente buscar al beneficiario escribiendo el CUIT). </w:t>
      </w:r>
    </w:p>
    <w:p w:rsidR="000152FF" w:rsidRDefault="00E12D67" w:rsidP="00183AB2">
      <w:pPr>
        <w:ind w:firstLine="567"/>
        <w:jc w:val="both"/>
      </w:pPr>
      <w:r>
        <w:t xml:space="preserve">El próximo campo (autorizado al cobro) a completar es opcional, y se completa en esta instancia si al momento de generar este </w:t>
      </w:r>
      <w:r w:rsidRPr="000152FF">
        <w:rPr>
          <w:b/>
        </w:rPr>
        <w:t xml:space="preserve">COM </w:t>
      </w:r>
      <w:r>
        <w:t>ya se sabe que existe un beneficiario alternativo al que se le autoriza el cobro de la orden de pago.</w:t>
      </w:r>
      <w:r w:rsidR="000152FF">
        <w:t xml:space="preserve"> </w:t>
      </w:r>
      <w:r>
        <w:t xml:space="preserve">Además, se deberá completar el Acto Legal que así lo certifica. En caso de que aún no se sepa si habrá un beneficiario alternativo para el cobro, deberá dejarse en blanco dicho campo, y el mismo podrá ser agregado en la etapa de </w:t>
      </w:r>
      <w:r w:rsidRPr="000152FF">
        <w:rPr>
          <w:b/>
        </w:rPr>
        <w:t>ORDENADO</w:t>
      </w:r>
      <w:r>
        <w:t xml:space="preserve"> en caso de ser necesario.</w:t>
      </w:r>
    </w:p>
    <w:p w:rsidR="00810DD1" w:rsidRDefault="00E12D67" w:rsidP="00183AB2">
      <w:pPr>
        <w:ind w:firstLine="567"/>
        <w:jc w:val="both"/>
      </w:pPr>
      <w:r>
        <w:t xml:space="preserve"> Luego, debemos completar el </w:t>
      </w:r>
      <w:r w:rsidRPr="005B74FF">
        <w:rPr>
          <w:b/>
        </w:rPr>
        <w:t>concepto de Tesorería</w:t>
      </w:r>
      <w:r w:rsidR="00810DD1">
        <w:t xml:space="preserve"> (aquí, de nuevo, con el botón F9 accedemos a una lista de posibles conceptos) </w:t>
      </w:r>
      <w:r>
        <w:t xml:space="preserve">y el </w:t>
      </w:r>
      <w:r w:rsidRPr="005B74FF">
        <w:rPr>
          <w:b/>
        </w:rPr>
        <w:t xml:space="preserve">monto </w:t>
      </w:r>
      <w:r>
        <w:t xml:space="preserve">correspondiente al comprobante. </w:t>
      </w:r>
    </w:p>
    <w:p w:rsidR="00810DD1" w:rsidRDefault="00E12D67" w:rsidP="00183AB2">
      <w:pPr>
        <w:ind w:firstLine="567"/>
        <w:jc w:val="both"/>
      </w:pPr>
      <w:r>
        <w:t>Una vez que completamos todos los campos, estamos en condiciones de seleccionar el botón “</w:t>
      </w:r>
      <w:r w:rsidRPr="005B74FF">
        <w:rPr>
          <w:b/>
        </w:rPr>
        <w:t>Aceptar</w:t>
      </w:r>
      <w:r>
        <w:t xml:space="preserve">”. Una vez ingresados los datos del </w:t>
      </w:r>
      <w:r w:rsidRPr="005B74FF">
        <w:rPr>
          <w:b/>
        </w:rPr>
        <w:t>beneficiario</w:t>
      </w:r>
      <w:r>
        <w:t xml:space="preserve"> el sistema nos muestra una síntesis de la información que ha sido cargada en el comprobante. Como se trata de un comprobante de compromiso (</w:t>
      </w:r>
      <w:r w:rsidRPr="00810DD1">
        <w:rPr>
          <w:b/>
        </w:rPr>
        <w:t>COM</w:t>
      </w:r>
      <w:r>
        <w:t xml:space="preserve">), solo estaremos habilitados a realizar las acciones de </w:t>
      </w:r>
      <w:r w:rsidRPr="005B74FF">
        <w:rPr>
          <w:b/>
        </w:rPr>
        <w:t>agregar</w:t>
      </w:r>
      <w:r>
        <w:t xml:space="preserve">, </w:t>
      </w:r>
      <w:r w:rsidRPr="005B74FF">
        <w:rPr>
          <w:b/>
        </w:rPr>
        <w:t>consultar</w:t>
      </w:r>
      <w:r>
        <w:t xml:space="preserve">, </w:t>
      </w:r>
      <w:r w:rsidRPr="005B74FF">
        <w:rPr>
          <w:b/>
        </w:rPr>
        <w:t>eliminar</w:t>
      </w:r>
      <w:r>
        <w:t xml:space="preserve"> y </w:t>
      </w:r>
      <w:r w:rsidRPr="005B74FF">
        <w:rPr>
          <w:b/>
        </w:rPr>
        <w:t>modificar</w:t>
      </w:r>
      <w:r>
        <w:t xml:space="preserve">. Las demás acciones solo podrán ser utilizadas en la </w:t>
      </w:r>
      <w:r>
        <w:lastRenderedPageBreak/>
        <w:t xml:space="preserve">etapa del </w:t>
      </w:r>
      <w:r w:rsidRPr="005B74FF">
        <w:rPr>
          <w:b/>
        </w:rPr>
        <w:t>ordenado</w:t>
      </w:r>
      <w:r>
        <w:t xml:space="preserve">. Para que quede registrado el compromiso ingresado nos situamos en el mismo dentro de la lista de comprobantes y seleccionamos la opción </w:t>
      </w:r>
      <w:r w:rsidRPr="005B74FF">
        <w:rPr>
          <w:b/>
        </w:rPr>
        <w:t>comprometer</w:t>
      </w:r>
      <w:r>
        <w:t xml:space="preserve">. </w:t>
      </w:r>
    </w:p>
    <w:p w:rsidR="00810DD1" w:rsidRDefault="00E12D67" w:rsidP="00183AB2">
      <w:pPr>
        <w:ind w:firstLine="567"/>
        <w:jc w:val="both"/>
      </w:pPr>
      <w:r>
        <w:t xml:space="preserve">Una vez allí cargamos la </w:t>
      </w:r>
      <w:r w:rsidRPr="005B74FF">
        <w:rPr>
          <w:b/>
        </w:rPr>
        <w:t>información presupuestaria</w:t>
      </w:r>
      <w:r>
        <w:t xml:space="preserve"> a ese compromiso, el </w:t>
      </w:r>
      <w:r w:rsidRPr="005B74FF">
        <w:rPr>
          <w:b/>
        </w:rPr>
        <w:t>monto</w:t>
      </w:r>
      <w:r>
        <w:t xml:space="preserve"> correspondiente. Ingresados los datos, el sistema nos devuelve una pantalla con la síntesis de la información presupuestaria cargada. Aquí podemos </w:t>
      </w:r>
      <w:r w:rsidRPr="008E0E03">
        <w:rPr>
          <w:b/>
        </w:rPr>
        <w:t>agregar,</w:t>
      </w:r>
      <w:r>
        <w:t xml:space="preserve"> </w:t>
      </w:r>
      <w:r w:rsidRPr="008E0E03">
        <w:rPr>
          <w:b/>
        </w:rPr>
        <w:t>consultar</w:t>
      </w:r>
      <w:r>
        <w:t xml:space="preserve">, </w:t>
      </w:r>
      <w:r w:rsidRPr="008E0E03">
        <w:rPr>
          <w:b/>
        </w:rPr>
        <w:t>modificar</w:t>
      </w:r>
      <w:r>
        <w:t xml:space="preserve"> y </w:t>
      </w:r>
      <w:r w:rsidRPr="008E0E03">
        <w:rPr>
          <w:b/>
        </w:rPr>
        <w:t>eliminar</w:t>
      </w:r>
      <w:r>
        <w:t xml:space="preserve"> en caso de error.</w:t>
      </w:r>
    </w:p>
    <w:p w:rsidR="00810DD1" w:rsidRDefault="00E12D67" w:rsidP="00183AB2">
      <w:pPr>
        <w:ind w:firstLine="567"/>
        <w:jc w:val="both"/>
      </w:pPr>
      <w:r>
        <w:t xml:space="preserve"> Si todo está correcto ya estamos en condiciones de </w:t>
      </w:r>
      <w:r w:rsidRPr="008E0E03">
        <w:rPr>
          <w:b/>
        </w:rPr>
        <w:t xml:space="preserve">verificar </w:t>
      </w:r>
      <w:r>
        <w:t xml:space="preserve">el comprobante de compromiso. </w:t>
      </w:r>
    </w:p>
    <w:p w:rsidR="00810DD1" w:rsidRDefault="00E12D67" w:rsidP="00183AB2">
      <w:pPr>
        <w:ind w:firstLine="567"/>
        <w:jc w:val="both"/>
      </w:pPr>
      <w:r>
        <w:t xml:space="preserve">Al igual que en </w:t>
      </w:r>
      <w:r w:rsidRPr="00810DD1">
        <w:rPr>
          <w:b/>
        </w:rPr>
        <w:t>RI</w:t>
      </w:r>
      <w:r w:rsidR="00700D65">
        <w:rPr>
          <w:b/>
        </w:rPr>
        <w:t>N</w:t>
      </w:r>
      <w:r>
        <w:t xml:space="preserve">, los </w:t>
      </w:r>
      <w:r w:rsidRPr="008E0E03">
        <w:rPr>
          <w:b/>
        </w:rPr>
        <w:t>compromisos pueden revertirse ya sea total o parcialmente</w:t>
      </w:r>
      <w:r>
        <w:t>, en caso de ser necesario.</w:t>
      </w:r>
    </w:p>
    <w:p w:rsidR="00EF4D42" w:rsidRDefault="00E12D67" w:rsidP="00183AB2">
      <w:pPr>
        <w:ind w:firstLine="567"/>
        <w:jc w:val="both"/>
      </w:pPr>
      <w:r>
        <w:t xml:space="preserve">El proceso de reversión para un comprobante de compromiso es igual al de reversión de </w:t>
      </w:r>
      <w:r w:rsidRPr="00810DD1">
        <w:rPr>
          <w:b/>
        </w:rPr>
        <w:t>RI</w:t>
      </w:r>
      <w:r w:rsidR="00F825FB">
        <w:rPr>
          <w:b/>
        </w:rPr>
        <w:t>N</w:t>
      </w:r>
      <w:r w:rsidR="00810DD1">
        <w:t>.</w:t>
      </w:r>
      <w:r>
        <w:t xml:space="preserve"> Del mismo modo que las </w:t>
      </w:r>
      <w:r w:rsidRPr="00810DD1">
        <w:rPr>
          <w:b/>
        </w:rPr>
        <w:t>RI</w:t>
      </w:r>
      <w:r w:rsidR="00F825FB">
        <w:rPr>
          <w:b/>
        </w:rPr>
        <w:t>N</w:t>
      </w:r>
      <w:r>
        <w:t xml:space="preserve"> podemos </w:t>
      </w:r>
      <w:bookmarkStart w:id="0" w:name="_GoBack"/>
      <w:r w:rsidRPr="008E0E03">
        <w:rPr>
          <w:b/>
        </w:rPr>
        <w:t xml:space="preserve">imprimir </w:t>
      </w:r>
      <w:bookmarkEnd w:id="0"/>
      <w:r>
        <w:t>el compromiso generado desde la vista general de lista de comprobantes</w:t>
      </w:r>
      <w:r w:rsidR="00810DD1">
        <w:t>.</w:t>
      </w:r>
    </w:p>
    <w:sectPr w:rsidR="00EF4D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67"/>
    <w:rsid w:val="000152FF"/>
    <w:rsid w:val="00183AB2"/>
    <w:rsid w:val="00252414"/>
    <w:rsid w:val="00593648"/>
    <w:rsid w:val="005B74FF"/>
    <w:rsid w:val="00700D65"/>
    <w:rsid w:val="00810DD1"/>
    <w:rsid w:val="00863F7A"/>
    <w:rsid w:val="008819B8"/>
    <w:rsid w:val="008E0E03"/>
    <w:rsid w:val="00A465E1"/>
    <w:rsid w:val="00E12D67"/>
    <w:rsid w:val="00E25614"/>
    <w:rsid w:val="00EB39ED"/>
    <w:rsid w:val="00F825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6317"/>
  <w15:docId w15:val="{56DC0E26-B2CC-4E08-BE6A-A37F6EE0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0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703</Words>
  <Characters>3871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cp:revision>
  <dcterms:created xsi:type="dcterms:W3CDTF">2022-01-18T12:26:00Z</dcterms:created>
  <dcterms:modified xsi:type="dcterms:W3CDTF">2022-06-28T14:28:00Z</dcterms:modified>
</cp:coreProperties>
</file>